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66" w:rsidRDefault="00A66566" w:rsidP="00A66566">
      <w:pPr>
        <w:jc w:val="right"/>
      </w:pPr>
      <w:r>
        <w:t>Załącznik nr 1</w:t>
      </w:r>
    </w:p>
    <w:p w:rsidR="00A66566" w:rsidRDefault="00A66566" w:rsidP="00A66566">
      <w:pPr>
        <w:jc w:val="right"/>
      </w:pPr>
    </w:p>
    <w:p w:rsidR="00A66566" w:rsidRDefault="00A66566" w:rsidP="00A66566">
      <w:pPr>
        <w:jc w:val="left"/>
      </w:pPr>
      <w:r>
        <w:t>Zapytanie ofertowe na dostawę ciągnionego wału drogowego przeznaczonego do zagęszczania dróg gruntowych.</w:t>
      </w:r>
    </w:p>
    <w:p w:rsidR="00A66566" w:rsidRDefault="00A66566" w:rsidP="00A66566">
      <w:pPr>
        <w:jc w:val="left"/>
      </w:pPr>
    </w:p>
    <w:p w:rsidR="00A66566" w:rsidRDefault="00A66566" w:rsidP="00A66566">
      <w:pPr>
        <w:jc w:val="left"/>
      </w:pPr>
      <w:r>
        <w:t>Parametry i wyposażenie wału: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Szerokość robocza: 2,4  m – 2,6 m</w:t>
      </w:r>
    </w:p>
    <w:p w:rsidR="00A66566" w:rsidRDefault="009F514B" w:rsidP="00A66566">
      <w:pPr>
        <w:pStyle w:val="Akapitzlist"/>
        <w:numPr>
          <w:ilvl w:val="0"/>
          <w:numId w:val="1"/>
        </w:numPr>
        <w:jc w:val="left"/>
      </w:pPr>
      <w:r>
        <w:t>Masa własna wału</w:t>
      </w:r>
      <w:r w:rsidR="00A66566">
        <w:t>: min. 2 tony</w:t>
      </w:r>
    </w:p>
    <w:p w:rsidR="00A66566" w:rsidRDefault="009F514B" w:rsidP="00A66566">
      <w:pPr>
        <w:pStyle w:val="Akapitzlist"/>
        <w:numPr>
          <w:ilvl w:val="0"/>
          <w:numId w:val="1"/>
        </w:numPr>
        <w:jc w:val="left"/>
      </w:pPr>
      <w:r>
        <w:t>Możliwość dociążenia wału</w:t>
      </w:r>
      <w:r w:rsidR="00A66566">
        <w:t xml:space="preserve"> (np. wodą)</w:t>
      </w:r>
    </w:p>
    <w:p w:rsidR="00A66566" w:rsidRDefault="009F514B" w:rsidP="00A66566">
      <w:pPr>
        <w:pStyle w:val="Akapitzlist"/>
        <w:numPr>
          <w:ilvl w:val="0"/>
          <w:numId w:val="1"/>
        </w:numPr>
        <w:jc w:val="left"/>
      </w:pPr>
      <w:r>
        <w:t>Masa wału</w:t>
      </w:r>
      <w:r w:rsidR="00A66566">
        <w:t xml:space="preserve"> po dociążeniu: min. 5 ton</w:t>
      </w:r>
    </w:p>
    <w:p w:rsidR="00A66566" w:rsidRDefault="009F514B" w:rsidP="00A66566">
      <w:pPr>
        <w:pStyle w:val="Akapitzlist"/>
        <w:numPr>
          <w:ilvl w:val="0"/>
          <w:numId w:val="1"/>
        </w:numPr>
        <w:jc w:val="left"/>
      </w:pPr>
      <w:r>
        <w:t>Średnica walca</w:t>
      </w:r>
      <w:r w:rsidR="00A66566">
        <w:t xml:space="preserve"> min.  1,2 m</w:t>
      </w:r>
    </w:p>
    <w:p w:rsidR="00A66566" w:rsidRDefault="009F514B" w:rsidP="00A66566">
      <w:pPr>
        <w:pStyle w:val="Akapitzlist"/>
        <w:numPr>
          <w:ilvl w:val="0"/>
          <w:numId w:val="1"/>
        </w:numPr>
        <w:jc w:val="left"/>
      </w:pPr>
      <w:r>
        <w:t>Grubość blachy walca</w:t>
      </w:r>
      <w:r w:rsidR="00A66566">
        <w:t xml:space="preserve"> min. 12 mm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Wewnętrzne ściany grodziowe wzmacniające stabilność walca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Prędkość transportowa min. 30 km/h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 xml:space="preserve">Szerokość </w:t>
      </w:r>
      <w:proofErr w:type="spellStart"/>
      <w:r>
        <w:t>max</w:t>
      </w:r>
      <w:proofErr w:type="spellEnd"/>
      <w:r>
        <w:t>. 3,40 m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Wózek jezdny transportowy unoszony hydraulicznie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Wzmocnione felgi i ogumienie wózka transportowego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Dyszel transportowy z obrotowym zaczepem umożliwiającym agregowanie z ciągnikiem rolniczym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Stopa podporowa dyszla transportowego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Oznakowanie i oświetlenie ostrzegawcze</w:t>
      </w:r>
      <w:r w:rsidR="00186F9B">
        <w:t xml:space="preserve"> oraz drogowe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Gwarancja producenta min. 24 miesiące</w:t>
      </w:r>
    </w:p>
    <w:p w:rsidR="00A66566" w:rsidRDefault="00A66566" w:rsidP="00A66566">
      <w:pPr>
        <w:pStyle w:val="Akapitzlist"/>
        <w:jc w:val="left"/>
      </w:pPr>
    </w:p>
    <w:p w:rsidR="00A66566" w:rsidRDefault="00A66566" w:rsidP="00A66566">
      <w:pPr>
        <w:jc w:val="left"/>
      </w:pPr>
    </w:p>
    <w:p w:rsidR="00A66566" w:rsidRDefault="00A66566" w:rsidP="00A66566">
      <w:pPr>
        <w:jc w:val="left"/>
      </w:pPr>
    </w:p>
    <w:p w:rsidR="00FB4464" w:rsidRDefault="00FB4464"/>
    <w:sectPr w:rsidR="00FB4464" w:rsidSect="00FB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B7144"/>
    <w:multiLevelType w:val="hybridMultilevel"/>
    <w:tmpl w:val="FD7C2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66566"/>
    <w:rsid w:val="00186F9B"/>
    <w:rsid w:val="00637A12"/>
    <w:rsid w:val="0076776C"/>
    <w:rsid w:val="009F514B"/>
    <w:rsid w:val="00A66566"/>
    <w:rsid w:val="00DE2CEA"/>
    <w:rsid w:val="00FB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Helvetica"/>
        <w:bCs/>
        <w:color w:val="32322D"/>
        <w:sz w:val="24"/>
        <w:szCs w:val="28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</cp:revision>
  <dcterms:created xsi:type="dcterms:W3CDTF">2018-07-10T10:00:00Z</dcterms:created>
  <dcterms:modified xsi:type="dcterms:W3CDTF">2018-07-10T10:09:00Z</dcterms:modified>
</cp:coreProperties>
</file>